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43434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3696600" cy="1050264"/>
            <wp:effectExtent b="0" l="0" r="0" t="0"/>
            <wp:docPr id="3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6600" cy="1050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1e1e1e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e1e1e"/>
          <w:sz w:val="42"/>
          <w:szCs w:val="42"/>
          <w:rtl w:val="0"/>
        </w:rPr>
        <w:t xml:space="preserve">Инструкция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1e1e1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1e1e1e"/>
          <w:sz w:val="36"/>
          <w:szCs w:val="36"/>
        </w:rPr>
      </w:pPr>
      <w:r w:rsidDel="00000000" w:rsidR="00000000" w:rsidRPr="00000000">
        <w:rPr>
          <w:color w:val="1e1e1e"/>
          <w:sz w:val="36"/>
          <w:szCs w:val="36"/>
          <w:rtl w:val="0"/>
        </w:rPr>
        <w:t xml:space="preserve">Термостат погружной Су-Вид (Sous Vide)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color w:val="231f20"/>
        </w:rPr>
      </w:pPr>
      <w:r w:rsidDel="00000000" w:rsidR="00000000" w:rsidRPr="00000000">
        <w:rPr>
          <w:color w:val="231f20"/>
          <w:rtl w:val="0"/>
        </w:rPr>
        <w:t xml:space="preserve">SJ-S016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</w:rPr>
        <w:drawing>
          <wp:inline distB="114300" distT="114300" distL="114300" distR="114300">
            <wp:extent cx="1300051" cy="4247287"/>
            <wp:effectExtent b="0" l="0" r="0" t="0"/>
            <wp:docPr id="3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051" cy="4247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1e1e1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jc w:val="left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h9mr39s2m92k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Описание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jc w:val="left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r8f59zzgs96l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Технические параметры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jc w:val="left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i w:val="0"/>
                <w:smallCaps w:val="0"/>
                <w:strike w:val="0"/>
                <w:color w:val="1e1e1e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Конструкция и особенности погружного термостата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jc w:val="left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Техника безопасности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jc w:val="left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4ninuwrkbqre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 Порядок установки и подготовка к работе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jc w:val="left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49akiqdoe8j3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5.1 Установка оборудования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jc w:val="left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yb6xh5mcza6d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5.2 Порядок работы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jc w:val="left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df681e9h1915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5.3 Калибровка термостата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jc w:val="left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i w:val="0"/>
                <w:smallCaps w:val="0"/>
                <w:strike w:val="0"/>
                <w:color w:val="1e1e1e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 Обслуживание и очистка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jc w:val="left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 Транспортировка и хранение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jc w:val="left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i w:val="0"/>
                <w:smallCaps w:val="0"/>
                <w:strike w:val="0"/>
                <w:color w:val="1e1e1e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 Ошибки оборудования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F">
      <w:pPr>
        <w:pStyle w:val="Heading1"/>
        <w:ind w:left="0" w:firstLine="0"/>
        <w:rPr>
          <w:rFonts w:ascii="Times New Roman" w:cs="Times New Roman" w:eastAsia="Times New Roman" w:hAnsi="Times New Roman"/>
          <w:color w:val="1e1e1e"/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e1e1e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Style w:val="Heading1"/>
        <w:ind w:left="0" w:firstLine="0"/>
        <w:rPr>
          <w:rFonts w:ascii="Times New Roman" w:cs="Times New Roman" w:eastAsia="Times New Roman" w:hAnsi="Times New Roman"/>
          <w:b w:val="1"/>
          <w:color w:val="231f20"/>
          <w:sz w:val="32"/>
          <w:szCs w:val="32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firstLine="0"/>
        <w:rPr>
          <w:rFonts w:ascii="Times New Roman" w:cs="Times New Roman" w:eastAsia="Times New Roman" w:hAnsi="Times New Roman"/>
          <w:b w:val="1"/>
          <w:color w:val="231f20"/>
          <w:sz w:val="32"/>
          <w:szCs w:val="32"/>
        </w:rPr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left="0" w:firstLine="0"/>
        <w:rPr>
          <w:rFonts w:ascii="Times New Roman" w:cs="Times New Roman" w:eastAsia="Times New Roman" w:hAnsi="Times New Roman"/>
          <w:b w:val="1"/>
          <w:color w:val="231f20"/>
          <w:sz w:val="32"/>
          <w:szCs w:val="32"/>
        </w:rPr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0" w:firstLine="0"/>
        <w:rPr>
          <w:rFonts w:ascii="Times New Roman" w:cs="Times New Roman" w:eastAsia="Times New Roman" w:hAnsi="Times New Roman"/>
          <w:b w:val="1"/>
          <w:color w:val="231f20"/>
          <w:sz w:val="32"/>
          <w:szCs w:val="32"/>
        </w:rPr>
      </w:pPr>
      <w:bookmarkStart w:colFirst="0" w:colLast="0" w:name="_heading=h.tyjcwt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Благодарим за покупку оборудования! 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Пожалуйста, изучите руководство до начала эксплуатации, чтобы убедиться в правильности действий и сохраните документ на весь период эксплуатации.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after="0" w:before="200" w:line="240" w:lineRule="auto"/>
        <w:rPr>
          <w:b w:val="1"/>
          <w:color w:val="000000"/>
          <w:sz w:val="24"/>
          <w:szCs w:val="24"/>
        </w:rPr>
      </w:pPr>
      <w:bookmarkStart w:colFirst="0" w:colLast="0" w:name="_heading=h.h9mr39s2m92k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1. Описание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Инструкция к </w:t>
      </w:r>
      <w:r w:rsidDel="00000000" w:rsidR="00000000" w:rsidRPr="00000000">
        <w:rPr>
          <w:rtl w:val="0"/>
        </w:rPr>
        <w:t xml:space="preserve">погружному термостату 1DREAM SJ-S016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содержит подробные рекомендации по кор</w:t>
      </w:r>
      <w:r w:rsidDel="00000000" w:rsidR="00000000" w:rsidRPr="00000000">
        <w:rPr>
          <w:rtl w:val="0"/>
        </w:rPr>
        <w:t xml:space="preserve">ректной эксп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луатации, безопасности и обслуживанию данного оборудования. Этот документ разработан для обеспечения эффективной и безопасной работы с </w:t>
      </w:r>
      <w:r w:rsidDel="00000000" w:rsidR="00000000" w:rsidRPr="00000000">
        <w:rPr>
          <w:rtl w:val="0"/>
        </w:rPr>
        <w:t xml:space="preserve">погружным термостатом 1DREAM SJ-S016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повышения производительности и продления срока службы оборудования.</w:t>
      </w:r>
    </w:p>
    <w:p w:rsidR="00000000" w:rsidDel="00000000" w:rsidP="00000000" w:rsidRDefault="00000000" w:rsidRPr="00000000" w14:paraId="00000028">
      <w:pPr>
        <w:pStyle w:val="Heading1"/>
        <w:spacing w:after="200" w:before="200" w:lineRule="auto"/>
        <w:ind w:right="-6.259842519683616"/>
        <w:jc w:val="left"/>
        <w:rPr>
          <w:rFonts w:ascii="Calibri" w:cs="Calibri" w:eastAsia="Calibri" w:hAnsi="Calibri"/>
          <w:sz w:val="28"/>
          <w:szCs w:val="28"/>
        </w:rPr>
      </w:pPr>
      <w:bookmarkStart w:colFirst="0" w:colLast="0" w:name="_heading=h.r8f59zzgs96l" w:id="6"/>
      <w:bookmarkEnd w:id="6"/>
      <w:r w:rsidDel="00000000" w:rsidR="00000000" w:rsidRPr="00000000">
        <w:rPr>
          <w:rtl w:val="0"/>
        </w:rPr>
        <w:t xml:space="preserve">2. Технические параметры</w:t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2520"/>
        <w:gridCol w:w="2610"/>
        <w:gridCol w:w="2265"/>
        <w:tblGridChange w:id="0">
          <w:tblGrid>
            <w:gridCol w:w="2385"/>
            <w:gridCol w:w="2520"/>
            <w:gridCol w:w="2610"/>
            <w:gridCol w:w="226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40" w:lineRule="auto"/>
              <w:jc w:val="center"/>
              <w:rPr>
                <w:b w:val="1"/>
                <w:color w:val="1e1e1e"/>
              </w:rPr>
            </w:pPr>
            <w:r w:rsidDel="00000000" w:rsidR="00000000" w:rsidRPr="00000000">
              <w:rPr>
                <w:b w:val="1"/>
                <w:color w:val="1e1e1e"/>
                <w:rtl w:val="0"/>
              </w:rPr>
              <w:t xml:space="preserve">Модель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Максимальный объем емкости, 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Мощность, кВт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1e1e1e"/>
                <w:rtl w:val="0"/>
              </w:rPr>
              <w:t xml:space="preserve">Подключение, 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SJ-S016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40" w:lineRule="auto"/>
              <w:jc w:val="center"/>
              <w:rPr>
                <w:color w:val="1e1e1e"/>
              </w:rPr>
            </w:pPr>
            <w:r w:rsidDel="00000000" w:rsidR="00000000" w:rsidRPr="00000000">
              <w:rPr>
                <w:color w:val="1e1e1e"/>
                <w:rtl w:val="0"/>
              </w:rPr>
              <w:t xml:space="preserve">220</w:t>
            </w:r>
          </w:p>
        </w:tc>
      </w:tr>
    </w:tbl>
    <w:p w:rsidR="00000000" w:rsidDel="00000000" w:rsidP="00000000" w:rsidRDefault="00000000" w:rsidRPr="00000000" w14:paraId="00000031">
      <w:pPr>
        <w:spacing w:before="20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Производитель оставляет за собой право изменять внешний вид и конструкцию аппарата для улучшения его эксплуатационных характеристик, оставляя без изменения технические характеристики.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/>
      </w:pPr>
      <w:bookmarkStart w:colFirst="0" w:colLast="0" w:name="_heading=h.2s8eyo1" w:id="7"/>
      <w:bookmarkEnd w:id="7"/>
      <w:r w:rsidDel="00000000" w:rsidR="00000000" w:rsidRPr="00000000">
        <w:rPr>
          <w:rtl w:val="0"/>
        </w:rPr>
        <w:t xml:space="preserve">3. Конструкция и особенности погружного термостата</w:t>
      </w:r>
    </w:p>
    <w:p w:rsidR="00000000" w:rsidDel="00000000" w:rsidP="00000000" w:rsidRDefault="00000000" w:rsidRPr="00000000" w14:paraId="00000033">
      <w:pPr>
        <w:ind w:left="720" w:hanging="720"/>
        <w:rPr/>
      </w:pPr>
      <w:r w:rsidDel="00000000" w:rsidR="00000000" w:rsidRPr="00000000">
        <w:rPr/>
        <w:drawing>
          <wp:inline distB="114300" distT="114300" distL="114300" distR="114300">
            <wp:extent cx="2675663" cy="4270357"/>
            <wp:effectExtent b="0" l="0" r="0" t="0"/>
            <wp:docPr id="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5663" cy="42703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sz w:val="18"/>
          <w:szCs w:val="18"/>
          <w:rtl w:val="0"/>
        </w:rPr>
        <w:t xml:space="preserve">Рисунок 1. Конструкция погружного термостата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Rule="auto"/>
        <w:rPr/>
      </w:pPr>
      <w:r w:rsidDel="00000000" w:rsidR="00000000" w:rsidRPr="00000000">
        <w:rPr>
          <w:rtl w:val="0"/>
        </w:rPr>
        <w:t xml:space="preserve">Производитель оставляет за собой право изменять внешний вид и конструкцию аппарата для улучшения его эксплуатационных характеристик, оставляя без изменения технические характеристики.</w:t>
      </w:r>
    </w:p>
    <w:p w:rsidR="00000000" w:rsidDel="00000000" w:rsidP="00000000" w:rsidRDefault="00000000" w:rsidRPr="00000000" w14:paraId="00000037">
      <w:pPr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Особенности изделия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0" w:firstLine="0"/>
        <w:rPr>
          <w:b w:val="0"/>
          <w:color w:val="000000"/>
          <w:sz w:val="22"/>
          <w:szCs w:val="22"/>
        </w:rPr>
      </w:pPr>
      <w:r w:rsidDel="00000000" w:rsidR="00000000" w:rsidRPr="00000000">
        <w:rPr>
          <w:color w:val="1e1e1e"/>
          <w:rtl w:val="0"/>
        </w:rPr>
        <w:t xml:space="preserve">Материал оборудования - пластик и нержавеющая сталь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0" w:firstLine="0"/>
        <w:rPr>
          <w:b w:val="0"/>
          <w:color w:val="000000"/>
        </w:rPr>
      </w:pPr>
      <w:r w:rsidDel="00000000" w:rsidR="00000000" w:rsidRPr="00000000">
        <w:rPr>
          <w:color w:val="1e1e1e"/>
          <w:rtl w:val="0"/>
        </w:rPr>
        <w:t xml:space="preserve">Температурный режим - 25-99 </w:t>
      </w:r>
      <w:r w:rsidDel="00000000" w:rsidR="00000000" w:rsidRPr="00000000">
        <w:rPr>
          <w:color w:val="1e1e1e"/>
          <w:highlight w:val="white"/>
          <w:rtl w:val="0"/>
        </w:rPr>
        <w:t xml:space="preserve">°C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0" w:firstLine="0"/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Подключение </w:t>
      </w:r>
      <w:r w:rsidDel="00000000" w:rsidR="00000000" w:rsidRPr="00000000">
        <w:rPr>
          <w:color w:val="1e1e1e"/>
          <w:rtl w:val="0"/>
        </w:rPr>
        <w:t xml:space="preserve">220 В/50 Гц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>
          <w:color w:val="000000"/>
        </w:rPr>
      </w:pPr>
      <w:bookmarkStart w:colFirst="0" w:colLast="0" w:name="_heading=h.17dp8vu" w:id="8"/>
      <w:bookmarkEnd w:id="8"/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color w:val="000000"/>
          <w:rtl w:val="0"/>
        </w:rPr>
        <w:t xml:space="preserve"> Техника безопасности</w:t>
      </w:r>
    </w:p>
    <w:tbl>
      <w:tblPr>
        <w:tblStyle w:val="Table3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1970.55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 </w:t>
            </w:r>
            <w:r w:rsidDel="00000000" w:rsidR="00000000" w:rsidRPr="00000000">
              <w:rPr>
                <w:rtl w:val="0"/>
              </w:rPr>
              <w:t xml:space="preserve">Допуск к работе на данном оборудовании возможен только после ознакомления с настоящим руководством по эксплуатации и прохождения инструктажа по технике безопасности. При монтаже, подготовке к работе, эксплуатации, техническом обслуживании и ремонте,  наряду с соблюдением требований безопасности, изложенных в настоящей инструкции, необходимо строго соблюдать правила техники безопасности, пожарной безопасности и  санитарные нормы в соответствии с нормативными акта и законодательством Российской Федерации</w:t>
            </w:r>
          </w:p>
        </w:tc>
      </w:tr>
    </w:tbl>
    <w:p w:rsidR="00000000" w:rsidDel="00000000" w:rsidP="00000000" w:rsidRDefault="00000000" w:rsidRPr="00000000" w14:paraId="0000003D">
      <w:pPr>
        <w:numPr>
          <w:ilvl w:val="0"/>
          <w:numId w:val="6"/>
        </w:numPr>
        <w:spacing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Устройство должно подключаться к безопасной электрической сети, то есть которая соответствует параметрам оборудования. </w:t>
      </w:r>
      <w:r w:rsidDel="00000000" w:rsidR="00000000" w:rsidRPr="00000000">
        <w:rPr>
          <w:color w:val="1e1e1e"/>
          <w:rtl w:val="0"/>
        </w:rPr>
        <w:t xml:space="preserve">Изделие работает от сети переменного тока с номинальным напряжением 220 В/50 Гц.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Номинальное напряжение 220-240 В/50 Гц.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Наличие рабочего заземления.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Наличие устройств защитного отключения (УЗО). 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0" w:righ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Не вставлять вилку в розетку, в которой находится несколько других электрических приборов. Сила тока не должна превышать предел, установленный для используемой розетки.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rtl w:val="0"/>
        </w:rPr>
        <w:t xml:space="preserve">Хранить оборудование в недоступном для детей месте. 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rtl w:val="0"/>
        </w:rPr>
        <w:t xml:space="preserve">Не допускается оставлять включенное оборудование без присмотра. 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rtl w:val="0"/>
        </w:rPr>
        <w:t xml:space="preserve">Не хранить огнеопасные предметы в непосредственной близости от аппарата. 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rtl w:val="0"/>
        </w:rPr>
        <w:t xml:space="preserve">При хранении аппарата температура окружающей среды должна быть быть ниже 45°С, влажность воздуха не должна превышать 85 %. Если аппарат не используется или используется при неблагоприятных погодных условиях, отключить аппарат от источника питания, чтобы предотвратить аварийные ситуации. 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color w:val="1e1e1e"/>
          <w:rtl w:val="0"/>
        </w:rPr>
        <w:t xml:space="preserve">Нельзя ставить и эксплуатировать прибор вблизи моечных ванн и рукомойников, а также теплового оборудования: печи и плиты, и т. 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rtl w:val="0"/>
        </w:rPr>
        <w:t xml:space="preserve">Перед мойкой, ремонтом или перемещением аппарата необходимо отключить его от источника электропитания и дождаться полного остывания. 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rtl w:val="0"/>
        </w:rPr>
        <w:t xml:space="preserve">Запрещено прикасаться мокрыми руками к силовому кабелю, в противном случае возможно поражение электрическим током.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color w:val="1e1e1e"/>
          <w:rtl w:val="0"/>
        </w:rPr>
        <w:t xml:space="preserve">Необходимо следить  за тем, чтобы сетевой шнур не касался горячих и острых предметов. Не перекручивать и не деформировать шнур, не ставить на него предметы.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0" w:right="0" w:firstLine="0"/>
        <w:rPr/>
      </w:pPr>
      <w:r w:rsidDel="00000000" w:rsidR="00000000" w:rsidRPr="00000000">
        <w:rPr>
          <w:rtl w:val="0"/>
        </w:rPr>
        <w:t xml:space="preserve">При обнаружении повреждения силового кабеля, или нарушении целостности иных комплектующих оборудования, немедленно прекратить эксплуатацию и сообщить об этом ответственному лицу.</w:t>
      </w:r>
      <w:r w:rsidDel="00000000" w:rsidR="00000000" w:rsidRPr="00000000">
        <w:rPr>
          <w:color w:val="1e1e1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0" w:righ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Запрещено погружать устройство в воду выше отметки MAX во избежание поражения электрическим током.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0" w:righ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Запрещается  применять бытовые удлинители для подключения устройства. 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Для проверки температуры в емкости  не прикасаться к жидкости руками или другими частями тела, вместо этого использовать термометр или данные с дисплея. Не прикасаться к прибору во время работы и до полного остывания. 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При использовании машины следить, чтобы уровень воды находился в пределах между указателями MIN и MAX для предотвращения проблем с устройством.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Чтобы избежать обратного течения жидкости, разместить оборудование вертикально после использования, не класть горизонтально или вверх ногами.</w:t>
      </w:r>
    </w:p>
    <w:p w:rsidR="00000000" w:rsidDel="00000000" w:rsidP="00000000" w:rsidRDefault="00000000" w:rsidRPr="00000000" w14:paraId="00000050">
      <w:pPr>
        <w:pStyle w:val="Heading1"/>
        <w:spacing w:after="0" w:before="200" w:lineRule="auto"/>
        <w:jc w:val="left"/>
        <w:rPr/>
      </w:pPr>
      <w:bookmarkStart w:colFirst="0" w:colLast="0" w:name="_heading=h.4ninuwrkbqre" w:id="9"/>
      <w:bookmarkEnd w:id="9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 Порядок установки и подготовка к работе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spacing w:after="0" w:lineRule="auto"/>
        <w:rPr/>
      </w:pPr>
      <w:bookmarkStart w:colFirst="0" w:colLast="0" w:name="_heading=h.49akiqdoe8j3" w:id="10"/>
      <w:bookmarkEnd w:id="10"/>
      <w:r w:rsidDel="00000000" w:rsidR="00000000" w:rsidRPr="00000000">
        <w:rPr>
          <w:rtl w:val="0"/>
        </w:rPr>
        <w:t xml:space="preserve">5.1 Установка оборудования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before="0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Устройство должно подключаться к безопасной электрической сети, то есть которая соответствует параметрам оборудования.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Номинальное напряжение 220-240 В/50 Гц.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Наличие рабочего заземления.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Наличие устройств защитного отключения (УЗО).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Распаковать оборудование, убедиться в отсутствии упаковочных материалов внутри оборудования.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ind w:left="0" w:firstLine="0"/>
        <w:rPr>
          <w:color w:val="1e1e1e"/>
          <w:u w:val="none"/>
        </w:rPr>
      </w:pPr>
      <w:r w:rsidDel="00000000" w:rsidR="00000000" w:rsidRPr="00000000">
        <w:rPr>
          <w:color w:val="1e1e1e"/>
          <w:rtl w:val="0"/>
        </w:rPr>
        <w:t xml:space="preserve">Наполнить подходящую емкость водой так, чтобы уровень жидкости при погружении термостата располагался между отметками MIN и MAX. Необходимо учитывать, что после погружения продукта в емкость с водой, уровень воды увеличится.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98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810"/>
            <w:tblGridChange w:id="0">
              <w:tblGrid>
                <w:gridCol w:w="9810"/>
              </w:tblGrid>
            </w:tblGridChange>
          </w:tblGrid>
          <w:tr>
            <w:trPr>
              <w:cantSplit w:val="0"/>
              <w:trHeight w:val="806.850585937500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Внимание!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1e1e1e"/>
                    <w:rtl w:val="0"/>
                  </w:rPr>
                  <w:t xml:space="preserve">Оборудование предназначено для работы только в воде. Не использовать для нагрева других пищевых и непищевых жидкостей.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numPr>
          <w:ilvl w:val="0"/>
          <w:numId w:val="7"/>
        </w:numPr>
        <w:tabs>
          <w:tab w:val="left" w:leader="none" w:pos="276.14173228346465"/>
        </w:tabs>
        <w:ind w:left="0" w:firstLine="0"/>
        <w:rPr/>
      </w:pPr>
      <w:r w:rsidDel="00000000" w:rsidR="00000000" w:rsidRPr="00000000">
        <w:rPr>
          <w:rtl w:val="0"/>
        </w:rPr>
        <w:t xml:space="preserve">Установить емкость с водой на устойчивой нескользящей горизонтальной поверхности;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tabs>
          <w:tab w:val="left" w:leader="none" w:pos="276.14173228346465"/>
        </w:tabs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Закрепить термостат в емкости с водой при помощи фиксирующей клипсы таким образом, чтобы металлический корпус с ТЭНом внутри были погружены в воду, а вода находилась между </w:t>
      </w:r>
      <w:r w:rsidDel="00000000" w:rsidR="00000000" w:rsidRPr="00000000">
        <w:rPr>
          <w:color w:val="1e1e1e"/>
          <w:rtl w:val="0"/>
        </w:rPr>
        <w:t xml:space="preserve">отметками MIN и MAX.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0" w:firstLine="0"/>
        <w:rPr/>
      </w:pPr>
      <w:r w:rsidDel="00000000" w:rsidR="00000000" w:rsidRPr="00000000">
        <w:rPr>
          <w:color w:val="1e1e1e"/>
          <w:rtl w:val="0"/>
        </w:rPr>
        <w:t xml:space="preserve">Необходимо следить  за тем, чтобы сетевой шнур не касался горячих и острых предметов. Не перекручивать и не деформировать шнур, не ставить на него предметы.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tabs>
          <w:tab w:val="left" w:leader="none" w:pos="276.14173228346465"/>
        </w:tabs>
        <w:ind w:left="0" w:firstLine="0"/>
        <w:rPr/>
      </w:pPr>
      <w:r w:rsidDel="00000000" w:rsidR="00000000" w:rsidRPr="00000000">
        <w:rPr>
          <w:rtl w:val="0"/>
        </w:rPr>
        <w:t xml:space="preserve">Перед включением аппарата необходимо проверить корректность сборки составляющих частей, надежность крепления деталей, целостность силового кабеля и подвижных механизмов, а также устойчивость емкости с водой.  </w:t>
      </w:r>
    </w:p>
    <w:p w:rsidR="00000000" w:rsidDel="00000000" w:rsidP="00000000" w:rsidRDefault="00000000" w:rsidRPr="00000000" w14:paraId="0000005D">
      <w:pPr>
        <w:pStyle w:val="Heading2"/>
        <w:tabs>
          <w:tab w:val="left" w:leader="none" w:pos="276.14173228346465"/>
        </w:tabs>
        <w:rPr>
          <w:sz w:val="28"/>
          <w:szCs w:val="28"/>
        </w:rPr>
      </w:pPr>
      <w:bookmarkStart w:colFirst="0" w:colLast="0" w:name="_heading=h.yb6xh5mcza6d" w:id="11"/>
      <w:bookmarkEnd w:id="11"/>
      <w:r w:rsidDel="00000000" w:rsidR="00000000" w:rsidRPr="00000000">
        <w:rPr>
          <w:sz w:val="24"/>
          <w:szCs w:val="24"/>
          <w:rtl w:val="0"/>
        </w:rPr>
        <w:t xml:space="preserve">5.2 Порядок работы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tabs>
          <w:tab w:val="left" w:leader="none" w:pos="276.14173228346465"/>
        </w:tabs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2421187" cy="2373867"/>
            <wp:effectExtent b="0" l="0" r="0" t="0"/>
            <wp:docPr id="3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1187" cy="23738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76.14173228346465"/>
        </w:tabs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Рисунок 2. Дисплей термостата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tabs>
          <w:tab w:val="left" w:leader="none" w:pos="276.14173228346465"/>
        </w:tabs>
        <w:ind w:left="0" w:firstLine="0"/>
        <w:rPr/>
      </w:pPr>
      <w:r w:rsidDel="00000000" w:rsidR="00000000" w:rsidRPr="00000000">
        <w:rPr>
          <w:rtl w:val="0"/>
        </w:rPr>
        <w:t xml:space="preserve">Подключить устройство к электросети.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0" w:firstLine="0"/>
        <w:rPr/>
      </w:pPr>
      <w:r w:rsidDel="00000000" w:rsidR="00000000" w:rsidRPr="00000000">
        <w:rPr>
          <w:color w:val="1e1e1e"/>
          <w:rtl w:val="0"/>
        </w:rPr>
        <w:t xml:space="preserve">Нажать кнопку </w:t>
      </w:r>
      <w:r w:rsidDel="00000000" w:rsidR="00000000" w:rsidRPr="00000000">
        <w:rPr>
          <w:color w:val="1e1e1e"/>
        </w:rPr>
        <w:drawing>
          <wp:inline distB="114300" distT="114300" distL="114300" distR="114300">
            <wp:extent cx="245260" cy="256939"/>
            <wp:effectExtent b="0" l="0" r="0" t="0"/>
            <wp:docPr id="3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260" cy="2569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1e1e1e"/>
          <w:rtl w:val="0"/>
        </w:rPr>
        <w:t xml:space="preserve"> для включения оборудования </w:t>
      </w:r>
    </w:p>
    <w:tbl>
      <w:tblPr>
        <w:tblStyle w:val="Table5"/>
        <w:tblW w:w="98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</w:t>
            </w:r>
            <w:r w:rsidDel="00000000" w:rsidR="00000000" w:rsidRPr="00000000">
              <w:rPr>
                <w:rtl w:val="0"/>
              </w:rPr>
              <w:t xml:space="preserve"> Оборудование предназначено только для использования с чистой водопроводной водой.</w:t>
            </w:r>
          </w:p>
        </w:tc>
      </w:tr>
    </w:tbl>
    <w:p w:rsidR="00000000" w:rsidDel="00000000" w:rsidP="00000000" w:rsidRDefault="00000000" w:rsidRPr="00000000" w14:paraId="00000063">
      <w:pPr>
        <w:numPr>
          <w:ilvl w:val="0"/>
          <w:numId w:val="2"/>
        </w:numPr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Время приготовления по умолчанию - 2 часа, температура по умолчанию - 55°C.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Индикаторная лампочка состояния горит красным.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0" w:firstLine="0"/>
        <w:rPr>
          <w:color w:val="1e1e1e"/>
          <w:u w:val="none"/>
        </w:rPr>
      </w:pPr>
      <w:r w:rsidDel="00000000" w:rsidR="00000000" w:rsidRPr="00000000">
        <w:rPr>
          <w:color w:val="1e1e1e"/>
          <w:rtl w:val="0"/>
        </w:rPr>
        <w:t xml:space="preserve">При необходимости изменения шкалы единиц измерения с Цельсия на Фаренгейта нажать иконку </w:t>
      </w:r>
      <w:r w:rsidDel="00000000" w:rsidR="00000000" w:rsidRPr="00000000">
        <w:rPr>
          <w:color w:val="1e1e1e"/>
        </w:rPr>
        <w:drawing>
          <wp:inline distB="114300" distT="114300" distL="114300" distR="114300">
            <wp:extent cx="190500" cy="306457"/>
            <wp:effectExtent b="0" l="0" r="0" t="0"/>
            <wp:docPr id="3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064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Для регулировки температуры приготовления необходимо зажать иконку </w:t>
      </w:r>
      <w:r w:rsidDel="00000000" w:rsidR="00000000" w:rsidRPr="00000000">
        <w:rPr>
          <w:color w:val="1e1e1e"/>
        </w:rPr>
        <w:drawing>
          <wp:inline distB="114300" distT="114300" distL="114300" distR="114300">
            <wp:extent cx="190500" cy="306457"/>
            <wp:effectExtent b="0" l="0" r="0" t="0"/>
            <wp:docPr id="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064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color w:val="1e1e1e"/>
              <w:rtl w:val="0"/>
            </w:rPr>
            <w:t xml:space="preserve">, дождаться, когда надпись CUR слева на дисплее сменится на SET. Далее кнопками ⊲ и ⊳, расположенными на нижней части дисплея выставить нужную температуру. </w:t>
          </w:r>
        </w:sdtContent>
      </w:sdt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Для регулировки времени приготовления необходимо зажать иконку </w:t>
      </w:r>
      <w:r w:rsidDel="00000000" w:rsidR="00000000" w:rsidRPr="00000000">
        <w:rPr>
          <w:color w:val="1e1e1e"/>
        </w:rPr>
        <w:drawing>
          <wp:inline distB="114300" distT="114300" distL="114300" distR="114300">
            <wp:extent cx="245260" cy="256939"/>
            <wp:effectExtent b="0" l="0" r="0" t="0"/>
            <wp:docPr id="4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260" cy="2569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color w:val="1e1e1e"/>
              <w:rtl w:val="0"/>
            </w:rPr>
            <w:t xml:space="preserve">, дождаться, когда надпись CUR слева на дисплее сменится на SET. Далее кнопками ⊲ и ⊳, расположенными на нижней части дисплея выставить нужное время приготовления.  </w:t>
          </w:r>
        </w:sdtContent>
      </w:sdt>
    </w:p>
    <w:p w:rsidR="00000000" w:rsidDel="00000000" w:rsidP="00000000" w:rsidRDefault="00000000" w:rsidRPr="00000000" w14:paraId="00000068">
      <w:pPr>
        <w:pStyle w:val="Heading2"/>
        <w:spacing w:after="0" w:before="200" w:lineRule="auto"/>
        <w:rPr>
          <w:sz w:val="24"/>
          <w:szCs w:val="24"/>
        </w:rPr>
      </w:pPr>
      <w:bookmarkStart w:colFirst="0" w:colLast="0" w:name="_heading=h.df681e9h1915" w:id="12"/>
      <w:bookmarkEnd w:id="12"/>
      <w:r w:rsidDel="00000000" w:rsidR="00000000" w:rsidRPr="00000000">
        <w:rPr>
          <w:sz w:val="24"/>
          <w:szCs w:val="24"/>
          <w:rtl w:val="0"/>
        </w:rPr>
        <w:t xml:space="preserve">5.3 </w:t>
      </w:r>
      <w:r w:rsidDel="00000000" w:rsidR="00000000" w:rsidRPr="00000000">
        <w:rPr>
          <w:rtl w:val="0"/>
        </w:rPr>
        <w:t xml:space="preserve">Калибровка термостата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Оборудование откалибровано на точное значение температуры на момент выхода с завода. Если при использовании обнаруживается расхождение между отображаемой температурой и измерениями другого точного температурного прибора (при условии, что используемый прибор действительно точный), лучше доверять заводской настройке оборудования. Однако калиброску можно провести следующим образом:</w:t>
      </w:r>
    </w:p>
    <w:p w:rsidR="00000000" w:rsidDel="00000000" w:rsidP="00000000" w:rsidRDefault="00000000" w:rsidRPr="00000000" w14:paraId="0000006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Одновременно нажмите кнопки ◁ и ▷ до тех пор, пока цифры температуры не начнут мигать.</w:t>
      </w:r>
    </w:p>
    <w:p w:rsidR="00000000" w:rsidDel="00000000" w:rsidP="00000000" w:rsidRDefault="00000000" w:rsidRPr="00000000" w14:paraId="0000006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Нажмите ◁ или ▷, чтобы повысить или понизить температуру, отрегулировав её до фактического значения, показанного на соответствующем калибровочном приборе.</w:t>
      </w:r>
    </w:p>
    <w:p w:rsidR="00000000" w:rsidDel="00000000" w:rsidP="00000000" w:rsidRDefault="00000000" w:rsidRPr="00000000" w14:paraId="0000006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По завершении корректировки три цифры температуры будут мигать, что подтверждает успешное завершение калибровки.</w:t>
      </w:r>
    </w:p>
    <w:p w:rsidR="00000000" w:rsidDel="00000000" w:rsidP="00000000" w:rsidRDefault="00000000" w:rsidRPr="00000000" w14:paraId="0000006D">
      <w:pPr>
        <w:pStyle w:val="Heading1"/>
        <w:spacing w:after="200" w:before="200" w:lineRule="auto"/>
        <w:jc w:val="left"/>
        <w:rPr/>
      </w:pPr>
      <w:bookmarkStart w:colFirst="0" w:colLast="0" w:name="_heading=h.1ksv4uv" w:id="13"/>
      <w:bookmarkEnd w:id="13"/>
      <w:r w:rsidDel="00000000" w:rsidR="00000000" w:rsidRPr="00000000">
        <w:rPr>
          <w:rtl w:val="0"/>
        </w:rPr>
        <w:t xml:space="preserve">6. Обслуживание и очистка</w:t>
      </w:r>
    </w:p>
    <w:tbl>
      <w:tblPr>
        <w:tblStyle w:val="Table6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Внимание!</w:t>
            </w:r>
            <w:r w:rsidDel="00000000" w:rsidR="00000000" w:rsidRPr="00000000">
              <w:rPr>
                <w:rtl w:val="0"/>
              </w:rPr>
              <w:t xml:space="preserve"> Перед проведением любых работ по обслуживанию оборудования необходимо отключить его от электропитания и дождаться полного остывания.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numPr>
          <w:ilvl w:val="0"/>
          <w:numId w:val="5"/>
        </w:numPr>
        <w:spacing w:before="200" w:lineRule="auto"/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Обязательно отключить питание перед чисткой или техобслуживанием, чтобы предотвратить несчастные случаи.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line="240" w:lineRule="auto"/>
        <w:ind w:left="0" w:firstLine="0"/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Очистку проводить при помощи мягкой ветоши  без агрессивных чистящих средств. 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line="240" w:lineRule="auto"/>
        <w:ind w:left="0" w:firstLine="0"/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Не допускается мыть оборудование под прямой струей воды и погружать его в воду </w:t>
      </w:r>
      <w:r w:rsidDel="00000000" w:rsidR="00000000" w:rsidRPr="00000000">
        <w:rPr>
          <w:color w:val="1e1e1e"/>
          <w:rtl w:val="0"/>
        </w:rPr>
        <w:t xml:space="preserve">отметки MAX</w:t>
      </w:r>
      <w:r w:rsidDel="00000000" w:rsidR="00000000" w:rsidRPr="00000000">
        <w:rPr>
          <w:color w:val="1e1e1e"/>
          <w:highlight w:val="white"/>
          <w:rtl w:val="0"/>
        </w:rPr>
        <w:t xml:space="preserve">  или иную жидкость.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line="240" w:lineRule="auto"/>
        <w:ind w:left="0" w:firstLine="0"/>
        <w:rPr>
          <w:color w:val="1e1e1e"/>
          <w:highlight w:val="white"/>
        </w:rPr>
      </w:pPr>
      <w:r w:rsidDel="00000000" w:rsidR="00000000" w:rsidRPr="00000000">
        <w:rPr>
          <w:rtl w:val="0"/>
        </w:rPr>
        <w:t xml:space="preserve">Для очистки аппарата не допускается использовать абразивные материалы, металлические губки и щетки, колющие и режущие предметы, агрессивные и хлорсодержащие чистящие средства, кислоты, щелочи и растворители. </w:t>
      </w:r>
    </w:p>
    <w:p w:rsidR="00000000" w:rsidDel="00000000" w:rsidP="00000000" w:rsidRDefault="00000000" w:rsidRPr="00000000" w14:paraId="00000073">
      <w:pPr>
        <w:pStyle w:val="Heading1"/>
        <w:spacing w:after="200" w:before="200" w:lineRule="auto"/>
        <w:jc w:val="left"/>
        <w:rPr/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  <w:t xml:space="preserve">7. Транспортировка и хранение</w:t>
      </w:r>
    </w:p>
    <w:p w:rsidR="00000000" w:rsidDel="00000000" w:rsidP="00000000" w:rsidRDefault="00000000" w:rsidRPr="00000000" w14:paraId="0000007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Необходимо соблюдать следующие условия для корректной транспортировки и хранения оборудования с сохранением его работоспособности: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0" w:firstLine="0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Обращаться осторожно с изделием при транспортировке, чтобы предотвратить сильную вибрацию.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0" w:firstLine="0"/>
        <w:rPr>
          <w:color w:val="1e1e1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Упакованное изделие должно находиться в проветриваемом помещении, защищенном от агрессивных газов и влажности выше 85%.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0" w:firstLine="0"/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Избегать долговременного хранения на открытом воздухе.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hd w:fill="ffffff" w:val="clear"/>
        <w:spacing w:line="288" w:lineRule="auto"/>
        <w:ind w:left="0" w:firstLine="0"/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Оберегать оборудование от негативного влияния атмосферы. </w:t>
      </w:r>
    </w:p>
    <w:p w:rsidR="00000000" w:rsidDel="00000000" w:rsidP="00000000" w:rsidRDefault="00000000" w:rsidRPr="00000000" w14:paraId="00000079">
      <w:pPr>
        <w:pStyle w:val="Heading1"/>
        <w:spacing w:before="200" w:lineRule="auto"/>
        <w:rPr/>
      </w:pPr>
      <w:bookmarkStart w:colFirst="0" w:colLast="0" w:name="_heading=h.z337ya" w:id="15"/>
      <w:bookmarkEnd w:id="15"/>
      <w:r w:rsidDel="00000000" w:rsidR="00000000" w:rsidRPr="00000000">
        <w:rPr>
          <w:color w:val="1e1e1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e1e1e"/>
          <w:rtl w:val="0"/>
        </w:rPr>
        <w:t xml:space="preserve">. </w:t>
      </w:r>
      <w:r w:rsidDel="00000000" w:rsidR="00000000" w:rsidRPr="00000000">
        <w:rPr>
          <w:color w:val="1e1e1e"/>
          <w:rtl w:val="0"/>
        </w:rPr>
        <w:t xml:space="preserve">Ошибки оборудования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1. E1: неисправность термодатчика защиты от возгорания.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2. E2: неисправность термодатчика воды.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3. Е3: датчик уровня воды не обнаружил воду в емкости, куда погружен термостат.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4. Е4: термодатчик защиты от возгорания обнаружил подъем температуры выше 110°C.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i w:val="1"/>
          <w:color w:val="1e1e1e"/>
        </w:rPr>
      </w:pPr>
      <w:r w:rsidDel="00000000" w:rsidR="00000000" w:rsidRPr="00000000">
        <w:rPr>
          <w:b w:val="1"/>
          <w:rtl w:val="0"/>
        </w:rPr>
        <w:t xml:space="preserve">Благодарим за покупку и желаем приятной работы! По вопросам гарантии обращайтесь по телефону +7 (800) 101-48-09.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93.700787401575" w:top="1133.8582677165355" w:left="1133.8582677165355" w:right="1320.47244094488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left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Times New Roman" w:cs="Times New Roman" w:eastAsia="Times New Roman" w:hAnsi="Times New Roman"/>
      <w:b w:val="1"/>
      <w:color w:val="1e1e1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2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8+yx1ODFYJNZ3c/gmgcO/zfbuA==">CgMxLjAaHwoBMBIaChgICVIUChJ0YWJsZS5xYW4zbXoxdzdoYTgaFAoBMRIPCg0IB0IJEgdHdW5nc3VoGhQKATISDwoNCAdCCRIHR3VuZ3N1aDIJaC4zMGowemxsMgloLjFmb2I5dGUyCWguM3pueXNoNzIJaC4yZXQ5MnAwMghoLnR5amN3dDIOaC5oOW1yMzlzMm05MmsyDmgucjhmNTl6emdzOTZsMgloLjJzOGV5bzEyCWguMTdkcDh2dTIOaC40bmludXdya2JxcmUyDmguNDlha2lxZG9lOGozMg5oLnliNnhoNW1jemE2ZDIOaC5kZjY4MWU5aDE5MTUyCWguMWtzdjR1djIJaC4zNW5rdW4yMghoLnozMzd5YTgAciExbkw4dmR4ZW9WelRMUzVNRnU3a2NibkliMWxEMTh5M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