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</w:p>
    <w:p>
      <w:pPr>
        <w:jc w:val="center"/>
        <w:rPr>
          <w:lang w:val="ru-RU"/>
        </w:rPr>
      </w:pPr>
      <w:r>
        <w:rPr>
          <w:lang w:val="ru-RU" w:eastAsia="ru-RU"/>
        </w:rPr>
        <w:drawing>
          <wp:inline distT="0" distB="0" distL="0" distR="0">
            <wp:extent cx="3981450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6988" cy="89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1260"/>
        <w:rPr>
          <w:lang w:val="ru-RU"/>
        </w:rPr>
      </w:pPr>
    </w:p>
    <w:p>
      <w:pPr>
        <w:ind w:left="1260"/>
        <w:rPr>
          <w:lang w:val="ru-RU"/>
        </w:rPr>
      </w:pPr>
    </w:p>
    <w:p>
      <w:pPr>
        <w:ind w:left="1260"/>
        <w:rPr>
          <w:lang w:val="ru-RU"/>
        </w:rPr>
      </w:pPr>
    </w:p>
    <w:p>
      <w:pPr>
        <w:jc w:val="center"/>
        <w:rPr>
          <w:sz w:val="72"/>
          <w:szCs w:val="72"/>
          <w:lang w:val="ru-RU"/>
        </w:rPr>
      </w:pPr>
      <w:r>
        <w:rPr>
          <w:sz w:val="72"/>
          <w:szCs w:val="72"/>
          <w:lang w:val="ru-RU"/>
        </w:rPr>
        <w:t>ПАСПОРТ</w:t>
      </w:r>
    </w:p>
    <w:p>
      <w:pPr>
        <w:jc w:val="center"/>
        <w:rPr>
          <w:sz w:val="72"/>
          <w:szCs w:val="72"/>
          <w:lang w:val="ru-RU"/>
        </w:rPr>
      </w:pPr>
    </w:p>
    <w:p>
      <w:pPr>
        <w:jc w:val="center"/>
        <w:rPr>
          <w:sz w:val="36"/>
          <w:szCs w:val="36"/>
          <w:lang w:val="ru-RU"/>
        </w:rPr>
      </w:pPr>
    </w:p>
    <w:p>
      <w:pPr>
        <w:jc w:val="center"/>
        <w:rPr>
          <w:rFonts w:eastAsia="Times New Roman"/>
          <w:b/>
          <w:kern w:val="0"/>
          <w:sz w:val="36"/>
          <w:szCs w:val="36"/>
          <w:lang w:val="ru-RU" w:eastAsia="ru-RU"/>
        </w:rPr>
      </w:pPr>
      <w:r>
        <w:rPr>
          <w:rFonts w:eastAsia="Times New Roman"/>
          <w:b/>
          <w:kern w:val="0"/>
          <w:sz w:val="36"/>
          <w:szCs w:val="36"/>
          <w:lang w:val="ru-RU" w:eastAsia="ru-RU"/>
        </w:rPr>
        <w:t xml:space="preserve">МАРИНАТОР </w:t>
      </w:r>
    </w:p>
    <w:p>
      <w:pPr>
        <w:jc w:val="center"/>
        <w:rPr>
          <w:b/>
          <w:lang w:val="ru-RU" w:eastAsia="ru-RU"/>
        </w:rPr>
      </w:pPr>
    </w:p>
    <w:p>
      <w:pPr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Модели: </w:t>
      </w:r>
      <w:r>
        <w:rPr>
          <w:rFonts w:eastAsia="Times New Roman"/>
          <w:kern w:val="0"/>
          <w:sz w:val="36"/>
          <w:szCs w:val="36"/>
          <w:lang w:val="ru-RU" w:eastAsia="ru-RU"/>
        </w:rPr>
        <w:t>HKN-SP50E, HKN-SP50VAC</w:t>
      </w:r>
    </w:p>
    <w:p>
      <w:pPr>
        <w:rPr>
          <w:lang w:val="ru-RU"/>
        </w:rPr>
      </w:pPr>
    </w:p>
    <w:p>
      <w:pPr>
        <w:rPr>
          <w:lang w:val="ru-RU"/>
        </w:rPr>
      </w:pPr>
    </w:p>
    <w:p>
      <w:pPr>
        <w:jc w:val="center"/>
        <w:rPr>
          <w:lang w:val="ru-RU"/>
        </w:rPr>
      </w:pPr>
    </w:p>
    <w:p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1659890</wp:posOffset>
            </wp:positionH>
            <wp:positionV relativeFrom="paragraph">
              <wp:posOffset>310515</wp:posOffset>
            </wp:positionV>
            <wp:extent cx="3128010" cy="3507740"/>
            <wp:effectExtent l="19050" t="0" r="0" b="0"/>
            <wp:wrapNone/>
            <wp:docPr id="2" name="Рисунок 3" descr="C:\Users\Naturev\AppData\Local\Microsoft\Windows\INetCache\Content.Word\HKN-SP50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Naturev\AppData\Local\Microsoft\Windows\INetCache\Content.Word\HKN-SP50V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5643" cy="35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5800090</wp:posOffset>
            </wp:positionH>
            <wp:positionV relativeFrom="paragraph">
              <wp:posOffset>4125595</wp:posOffset>
            </wp:positionV>
            <wp:extent cx="532130" cy="535940"/>
            <wp:effectExtent l="19050" t="0" r="1270" b="0"/>
            <wp:wrapThrough wrapText="bothSides">
              <wp:wrapPolygon>
                <wp:start x="-773" y="0"/>
                <wp:lineTo x="-773" y="20730"/>
                <wp:lineTo x="21652" y="20730"/>
                <wp:lineTo x="21652" y="16891"/>
                <wp:lineTo x="20878" y="12284"/>
                <wp:lineTo x="21652" y="768"/>
                <wp:lineTo x="21652" y="0"/>
                <wp:lineTo x="-773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br w:type="column"/>
      </w:r>
      <w:r>
        <w:rPr>
          <w:rFonts w:ascii="Arial" w:hAnsi="Arial" w:cs="Arial"/>
          <w:b/>
          <w:sz w:val="28"/>
          <w:szCs w:val="28"/>
          <w:lang w:val="ru-RU"/>
        </w:rPr>
        <w:t>Краткое вступление</w:t>
      </w:r>
    </w:p>
    <w:p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lang w:val="ru-RU"/>
        </w:rPr>
        <w:t>Вы приобрели профессиональное оборудование. Прежде чем приступить к работе с ним, обязательно ознакомьтесь с настоящим Паспортом и сохраняйте его в течение всего срока эксплуатации оборудования.</w:t>
      </w:r>
    </w:p>
    <w:p>
      <w:pPr>
        <w:pStyle w:val="6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</w:rPr>
        <w:t>!</w:t>
      </w:r>
      <w:r>
        <w:rPr>
          <w:rFonts w:ascii="Arial" w:hAnsi="Arial" w:cs="Arial"/>
        </w:rPr>
        <w:t xml:space="preserve"> Данное оборудование предназначено для использования на предприятиях общественного питания и прекрасно подходит</w:t>
      </w:r>
      <w:r>
        <w:rPr>
          <w:rFonts w:ascii="Arial" w:hAnsi="Arial" w:cs="Arial"/>
          <w:color w:val="000000"/>
        </w:rPr>
        <w:t xml:space="preserve"> для массирования мяса, курицы, рыбы, овощей, фруктов в рассоле, смешивания салатов и соусов, смягчение свежего мяса. Значительно улучшает и усиливает потребительские свойства и структуру сырья, увеличивает выход готовой продукции.</w:t>
      </w:r>
    </w:p>
    <w:p>
      <w:pPr>
        <w:pStyle w:val="6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333333"/>
        </w:rPr>
      </w:pPr>
    </w:p>
    <w:p>
      <w:pPr>
        <w:pStyle w:val="13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Технические характеристики </w:t>
      </w:r>
    </w:p>
    <w:p>
      <w:pPr>
        <w:pStyle w:val="13"/>
        <w:widowControl/>
        <w:tabs>
          <w:tab w:val="left" w:pos="567"/>
        </w:tabs>
        <w:spacing w:after="240"/>
        <w:ind w:left="283"/>
        <w:jc w:val="lef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Style w:val="8"/>
        <w:tblW w:w="9094" w:type="dxa"/>
        <w:jc w:val="center"/>
        <w:tblInd w:w="-6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2947"/>
        <w:gridCol w:w="2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Модель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b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b/>
                <w:color w:val="000000"/>
                <w:kern w:val="0"/>
                <w:sz w:val="22"/>
                <w:szCs w:val="22"/>
                <w:lang w:val="ru-RU" w:eastAsia="ru-RU"/>
              </w:rPr>
              <w:t>HKN-SP50E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/>
                <w:b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b/>
                <w:color w:val="000000"/>
                <w:kern w:val="0"/>
                <w:sz w:val="22"/>
                <w:szCs w:val="22"/>
                <w:lang w:val="ru-RU" w:eastAsia="ru-RU"/>
              </w:rPr>
              <w:t>HKN-SP50VAC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0,18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0,3</w:t>
            </w:r>
            <w:r>
              <w:rPr>
                <w:rFonts w:hint="eastAsia" w:ascii="Calibri" w:hAnsi="Calibri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Напряжение, В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Наличие функции вакуумирования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нет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да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Объём камеры, л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Максимальная загрузка, кг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Цикл работы, мин.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Габариты, мм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880x410x940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hint="eastAsia" w:ascii="Calibri" w:hAnsi="Calibri"/>
                <w:color w:val="000000"/>
                <w:kern w:val="0"/>
                <w:sz w:val="22"/>
                <w:szCs w:val="22"/>
                <w:lang w:val="en-US" w:eastAsia="zh-CN"/>
              </w:rPr>
              <w:t>905</w:t>
            </w:r>
            <w:bookmarkStart w:id="0" w:name="_GoBack"/>
            <w:bookmarkEnd w:id="0"/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x410x940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Масса, кг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eastAsia="Times New Roman"/>
                <w:color w:val="000000"/>
                <w:kern w:val="0"/>
                <w:sz w:val="22"/>
                <w:szCs w:val="22"/>
                <w:lang w:val="ru-RU" w:eastAsia="ru-RU"/>
              </w:rPr>
              <w:t>75</w:t>
            </w:r>
          </w:p>
        </w:tc>
      </w:tr>
    </w:tbl>
    <w:p>
      <w:pPr>
        <w:widowControl/>
        <w:spacing w:after="200" w:line="276" w:lineRule="auto"/>
        <w:jc w:val="center"/>
        <w:rPr>
          <w:rStyle w:val="11"/>
          <w:rFonts w:ascii="Arial" w:hAnsi="Arial" w:cs="Arial"/>
          <w:b/>
          <w:color w:val="000000"/>
          <w:sz w:val="32"/>
          <w:szCs w:val="32"/>
          <w:shd w:val="clear" w:color="auto" w:fill="EBEFF9"/>
        </w:rPr>
      </w:pPr>
    </w:p>
    <w:p>
      <w:pPr>
        <w:pStyle w:val="13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Транспортировка</w:t>
      </w:r>
    </w:p>
    <w:p>
      <w:pPr>
        <w:pStyle w:val="13"/>
        <w:widowControl/>
        <w:tabs>
          <w:tab w:val="left" w:pos="567"/>
        </w:tabs>
        <w:spacing w:after="240"/>
        <w:ind w:left="283"/>
        <w:jc w:val="left"/>
        <w:rPr>
          <w:rFonts w:ascii="Arial" w:hAnsi="Arial" w:cs="Arial"/>
          <w:b/>
          <w:sz w:val="28"/>
          <w:szCs w:val="28"/>
          <w:lang w:val="ru-RU"/>
        </w:rPr>
      </w:pPr>
    </w:p>
    <w:p>
      <w:pPr>
        <w:pStyle w:val="13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4"/>
          <w:lang w:val="ru-RU"/>
        </w:rPr>
        <w:t>Бережно перевозите и переносите данное оборудование, избегая резких толков и встрясок. Не следует хранить оборудование на открытом воздухе. Склад должен хорошо проветриваться. Запрещается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lang w:val="ru-RU"/>
        </w:rPr>
        <w:t>переворачивать!</w:t>
      </w:r>
    </w:p>
    <w:p>
      <w:pPr>
        <w:pStyle w:val="13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</w:rPr>
      </w:pPr>
    </w:p>
    <w:p>
      <w:pPr>
        <w:pStyle w:val="13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</w:rPr>
      </w:pPr>
    </w:p>
    <w:p>
      <w:pPr>
        <w:pStyle w:val="13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Установка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Расположите маринатор на плоской и ровной поверхности. При его включении рабочий должен находиться на безопасном расстоянии не менее 30см от машины. 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Перед включением убедитесь, что ручка отсека бункера повернута, и бункер закрыт.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Запрещено класть руки на бункер или открывать его до полной остановки.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Подсоединение всех электрических компонентов должно быть надежным. Оборудование должно быть заземлено!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Установка и подсоединение должно производиться квалифицированным инженером.</w:t>
      </w:r>
    </w:p>
    <w:p>
      <w:pPr>
        <w:pStyle w:val="14"/>
        <w:rPr>
          <w:lang w:val="ru-RU"/>
        </w:rPr>
      </w:pPr>
    </w:p>
    <w:p>
      <w:pPr>
        <w:widowControl/>
        <w:spacing w:after="200" w:line="276" w:lineRule="auto"/>
        <w:jc w:val="left"/>
        <w:rPr>
          <w:color w:val="000000"/>
          <w:kern w:val="0"/>
          <w:sz w:val="24"/>
          <w:lang w:val="ru-RU"/>
        </w:rPr>
      </w:pPr>
      <w:r>
        <w:rPr>
          <w:lang w:val="ru-RU"/>
        </w:rPr>
        <w:br w:type="page"/>
      </w:r>
    </w:p>
    <w:p>
      <w:pPr>
        <w:pStyle w:val="13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Эксплуатация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Проверните кратковременным включением емкость в положение, когда кран и отсек для загрузки окажутся в верхней точке траектории вращения.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Поверните ручку крышки на 90 градусов, положите ингредиенты в бункер и закройте крышку. Загрузка ингредиентов не должна превышать 80% от объема камеры.</w:t>
      </w:r>
    </w:p>
    <w:p>
      <w:pPr>
        <w:pStyle w:val="14"/>
        <w:rPr>
          <w:lang w:val="ru-RU"/>
        </w:rPr>
      </w:pP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модели маринатора с функцией вакуумирования, подключите шланг к крану на камере и при закрытом кране включите вакуумный насос, медленно поворачивая ручку крана, откачайте воздух до разряжения согласно технологии. Затем закройте кран и отсоедините  шланг.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Включите питание и нажмите кнопку «</w:t>
      </w:r>
      <w:r>
        <w:rPr>
          <w:rFonts w:ascii="Arial" w:hAnsi="Arial" w:cs="Arial"/>
        </w:rPr>
        <w:t>START</w:t>
      </w:r>
      <w:r>
        <w:rPr>
          <w:rFonts w:ascii="Arial" w:hAnsi="Arial" w:cs="Arial"/>
          <w:lang w:val="ru-RU"/>
        </w:rPr>
        <w:t>», машина начнет работать. Для остановки нажмите кнопку «</w:t>
      </w:r>
      <w:r>
        <w:rPr>
          <w:rFonts w:ascii="Arial" w:hAnsi="Arial" w:cs="Arial"/>
        </w:rPr>
        <w:t>STOP</w:t>
      </w:r>
      <w:r>
        <w:rPr>
          <w:rFonts w:ascii="Arial" w:hAnsi="Arial" w:cs="Arial"/>
          <w:lang w:val="ru-RU"/>
        </w:rPr>
        <w:t xml:space="preserve">», или машина автоматически остановится через 12 минут. 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Проверните кратковременным включением емкость в положение, когда кран и отсек для загрузки окажутся в верхней точке траектории вращения.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модели с функцией вакуумирования,  откройте кран для напуска воздуха в камеру. Откройте крышку и достаньте получившийся продукт.</w:t>
      </w:r>
    </w:p>
    <w:p>
      <w:pPr>
        <w:pStyle w:val="15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необходимо настроить другое время маринования, обратитесь к сервисному инженеру для настройки таймера.  </w:t>
      </w:r>
    </w:p>
    <w:p>
      <w:pPr>
        <w:pStyle w:val="14"/>
        <w:rPr>
          <w:lang w:val="ru-RU"/>
        </w:rPr>
      </w:pPr>
    </w:p>
    <w:p>
      <w:pPr>
        <w:pStyle w:val="14"/>
        <w:rPr>
          <w:b/>
          <w:lang w:val="ru-RU"/>
        </w:rPr>
      </w:pPr>
      <w:r>
        <w:rPr>
          <w:b/>
          <w:lang w:val="ru-RU"/>
        </w:rPr>
        <w:t>ВНИМАНИЕ!</w:t>
      </w:r>
    </w:p>
    <w:p>
      <w:pPr>
        <w:pStyle w:val="14"/>
        <w:rPr>
          <w:b/>
          <w:lang w:val="ru-RU"/>
        </w:rPr>
      </w:pPr>
      <w:r>
        <w:rPr>
          <w:b/>
          <w:lang w:val="ru-RU"/>
        </w:rPr>
        <w:t xml:space="preserve">Строго следуйте инструкции и не допускайте попадания продуктов питания в систему вакуумирования через шланг, т.к. это может привести к выходу из строя вакуумного насоса. </w:t>
      </w:r>
    </w:p>
    <w:p>
      <w:pPr>
        <w:pStyle w:val="14"/>
        <w:rPr>
          <w:lang w:val="ru-RU"/>
        </w:rPr>
      </w:pPr>
    </w:p>
    <w:p>
      <w:pPr>
        <w:pStyle w:val="14"/>
        <w:rPr>
          <w:lang w:val="ru-RU"/>
        </w:rPr>
      </w:pPr>
    </w:p>
    <w:p>
      <w:pPr>
        <w:pStyle w:val="13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8"/>
          <w:szCs w:val="28"/>
        </w:rPr>
        <w:t>Очистка и обслуживание</w:t>
      </w:r>
    </w:p>
    <w:p>
      <w:pPr>
        <w:pStyle w:val="15"/>
        <w:numPr>
          <w:ilvl w:val="0"/>
          <w:numId w:val="3"/>
        </w:numPr>
        <w:jc w:val="both"/>
        <w:rPr>
          <w:rFonts w:ascii="Arial" w:hAnsi="Arial" w:eastAsia="MHAOAM+Marlett" w:cs="Arial"/>
          <w:color w:val="000000"/>
          <w:lang w:val="ru-RU"/>
        </w:rPr>
      </w:pPr>
      <w:r>
        <w:rPr>
          <w:rFonts w:ascii="Arial" w:hAnsi="Arial" w:eastAsia="MHAOAM+Marlett" w:cs="Arial"/>
          <w:color w:val="000000"/>
          <w:lang w:val="ru-RU"/>
        </w:rPr>
        <w:t>Перед обслуживанием убедитесь, что устройство отключено от сети питания.</w:t>
      </w:r>
    </w:p>
    <w:p>
      <w:pPr>
        <w:pStyle w:val="15"/>
        <w:numPr>
          <w:ilvl w:val="0"/>
          <w:numId w:val="3"/>
        </w:numPr>
        <w:jc w:val="both"/>
        <w:rPr>
          <w:rFonts w:ascii="Arial" w:hAnsi="Arial" w:eastAsia="MHAOAM+Marlett" w:cs="Arial"/>
          <w:color w:val="000000"/>
          <w:lang w:val="ru-RU"/>
        </w:rPr>
      </w:pPr>
      <w:r>
        <w:rPr>
          <w:rFonts w:ascii="Arial" w:hAnsi="Arial" w:eastAsia="MHAOAM+Marlett" w:cs="Arial"/>
          <w:color w:val="000000"/>
          <w:lang w:val="ru-RU"/>
        </w:rPr>
        <w:t xml:space="preserve">Не используйте влажные салфетки и агрессивные чистящие средства для очистки бункера. </w:t>
      </w:r>
    </w:p>
    <w:p>
      <w:pPr>
        <w:pStyle w:val="15"/>
        <w:numPr>
          <w:ilvl w:val="0"/>
          <w:numId w:val="3"/>
        </w:numPr>
        <w:jc w:val="both"/>
        <w:rPr>
          <w:rFonts w:ascii="Arial" w:hAnsi="Arial" w:eastAsia="MHAOAM+Marlett" w:cs="Arial"/>
          <w:color w:val="000000"/>
          <w:lang w:val="ru-RU"/>
        </w:rPr>
      </w:pPr>
      <w:r>
        <w:rPr>
          <w:rFonts w:ascii="Arial" w:hAnsi="Arial" w:eastAsia="MHAOAM+Marlett" w:cs="Arial"/>
          <w:color w:val="000000"/>
          <w:lang w:val="ru-RU"/>
        </w:rPr>
        <w:t xml:space="preserve">Запрещается распылять на устройство чистящие средства в виде спреев или из баллонов под давлением. </w:t>
      </w:r>
    </w:p>
    <w:p>
      <w:pPr>
        <w:pStyle w:val="15"/>
        <w:numPr>
          <w:ilvl w:val="0"/>
          <w:numId w:val="3"/>
        </w:numPr>
        <w:jc w:val="both"/>
        <w:rPr>
          <w:rFonts w:ascii="Arial" w:hAnsi="Arial" w:eastAsia="MHAOAM+Marlett" w:cs="Arial"/>
          <w:lang w:val="ru-RU"/>
        </w:rPr>
      </w:pPr>
      <w:r>
        <w:rPr>
          <w:rFonts w:ascii="Arial" w:hAnsi="Arial" w:eastAsia="MHAOAM+Marlett" w:cs="Arial"/>
          <w:lang w:val="ru-RU"/>
        </w:rPr>
        <w:t xml:space="preserve">Запрещается мыть электрические компоненты с помощью воды. </w:t>
      </w:r>
    </w:p>
    <w:p>
      <w:pPr>
        <w:pStyle w:val="14"/>
        <w:rPr>
          <w:lang w:val="ru-RU"/>
        </w:rPr>
      </w:pPr>
    </w:p>
    <w:p>
      <w:pPr>
        <w:ind w:left="283" w:firstLine="1"/>
        <w:jc w:val="left"/>
        <w:rPr>
          <w:rStyle w:val="1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>
      <w:pPr>
        <w:ind w:left="283" w:firstLine="240" w:firstLineChars="100"/>
        <w:jc w:val="left"/>
        <w:rPr>
          <w:rStyle w:val="1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>
      <w:pPr>
        <w:widowControl/>
        <w:spacing w:after="200" w:line="276" w:lineRule="auto"/>
        <w:jc w:val="left"/>
        <w:rPr>
          <w:rFonts w:ascii="Arial" w:hAnsi="Arial" w:cs="Arial"/>
          <w:lang w:val="ru-RU"/>
        </w:rPr>
      </w:pPr>
    </w:p>
    <w:sectPr>
      <w:footerReference r:id="rId3" w:type="default"/>
      <w:pgSz w:w="11906" w:h="16838"/>
      <w:pgMar w:top="678" w:right="850" w:bottom="709" w:left="85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HAOAM+Marlet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8016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1042"/>
    <w:multiLevelType w:val="multilevel"/>
    <w:tmpl w:val="03D710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600085"/>
    <w:multiLevelType w:val="multilevel"/>
    <w:tmpl w:val="2D6000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54D58"/>
    <w:multiLevelType w:val="multilevel"/>
    <w:tmpl w:val="57354D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autoHyphenation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0BC1"/>
    <w:rsid w:val="00091CA0"/>
    <w:rsid w:val="000F23BE"/>
    <w:rsid w:val="00126392"/>
    <w:rsid w:val="001E206E"/>
    <w:rsid w:val="00302506"/>
    <w:rsid w:val="0032038C"/>
    <w:rsid w:val="00363DC6"/>
    <w:rsid w:val="003B2FDC"/>
    <w:rsid w:val="003E3135"/>
    <w:rsid w:val="00426CD2"/>
    <w:rsid w:val="00432239"/>
    <w:rsid w:val="0045318E"/>
    <w:rsid w:val="00467753"/>
    <w:rsid w:val="00490270"/>
    <w:rsid w:val="004C43CF"/>
    <w:rsid w:val="004C4A51"/>
    <w:rsid w:val="00504785"/>
    <w:rsid w:val="0058113C"/>
    <w:rsid w:val="0062534D"/>
    <w:rsid w:val="00630914"/>
    <w:rsid w:val="0069396C"/>
    <w:rsid w:val="006B2CBB"/>
    <w:rsid w:val="006F5D29"/>
    <w:rsid w:val="006F609E"/>
    <w:rsid w:val="00706402"/>
    <w:rsid w:val="00770BC1"/>
    <w:rsid w:val="007A0698"/>
    <w:rsid w:val="0082011C"/>
    <w:rsid w:val="008360D9"/>
    <w:rsid w:val="0087589E"/>
    <w:rsid w:val="00915B3C"/>
    <w:rsid w:val="00964757"/>
    <w:rsid w:val="00A138D4"/>
    <w:rsid w:val="00A2114A"/>
    <w:rsid w:val="00A26581"/>
    <w:rsid w:val="00AB6EB1"/>
    <w:rsid w:val="00AF0BC6"/>
    <w:rsid w:val="00B80F75"/>
    <w:rsid w:val="00C56A5F"/>
    <w:rsid w:val="00C738F8"/>
    <w:rsid w:val="00CF30B3"/>
    <w:rsid w:val="00DD5058"/>
    <w:rsid w:val="00E32568"/>
    <w:rsid w:val="00E535A0"/>
    <w:rsid w:val="00EC7B16"/>
    <w:rsid w:val="00EF5B15"/>
    <w:rsid w:val="48C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9">
    <w:name w:val="Заголовок 3 Знак"/>
    <w:basedOn w:val="7"/>
    <w:link w:val="2"/>
    <w:uiPriority w:val="0"/>
    <w:rPr>
      <w:rFonts w:ascii="Times New Roman" w:hAnsi="Times New Roman" w:eastAsia="Times New Roman" w:cs="Times New Roman"/>
      <w:b/>
      <w:szCs w:val="20"/>
      <w:lang w:eastAsia="ru-RU"/>
    </w:rPr>
  </w:style>
  <w:style w:type="character" w:customStyle="1" w:styleId="10">
    <w:name w:val="Текст выноски Знак"/>
    <w:basedOn w:val="7"/>
    <w:link w:val="3"/>
    <w:semiHidden/>
    <w:uiPriority w:val="99"/>
    <w:rPr>
      <w:rFonts w:ascii="Tahoma" w:hAnsi="Tahoma" w:eastAsia="宋体" w:cs="Tahoma"/>
      <w:kern w:val="2"/>
      <w:sz w:val="16"/>
      <w:szCs w:val="16"/>
      <w:lang w:val="en-US" w:eastAsia="zh-CN"/>
    </w:rPr>
  </w:style>
  <w:style w:type="character" w:customStyle="1" w:styleId="11">
    <w:name w:val="long_text1"/>
    <w:uiPriority w:val="0"/>
    <w:rPr>
      <w:sz w:val="20"/>
      <w:szCs w:val="20"/>
    </w:rPr>
  </w:style>
  <w:style w:type="character" w:customStyle="1" w:styleId="12">
    <w:name w:val="short_text1"/>
    <w:uiPriority w:val="0"/>
    <w:rPr>
      <w:sz w:val="29"/>
      <w:szCs w:val="29"/>
    </w:rPr>
  </w:style>
  <w:style w:type="paragraph" w:customStyle="1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內文"/>
    <w:basedOn w:val="14"/>
    <w:next w:val="14"/>
    <w:qFormat/>
    <w:uiPriority w:val="99"/>
    <w:rPr>
      <w:color w:val="auto"/>
    </w:rPr>
  </w:style>
  <w:style w:type="character" w:customStyle="1" w:styleId="16">
    <w:name w:val="Верхний колонтитул Знак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7">
    <w:name w:val="Нижний колонтитул Знак"/>
    <w:basedOn w:val="7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8">
    <w:name w:val="Без интервала Знак"/>
    <w:basedOn w:val="7"/>
    <w:link w:val="19"/>
    <w:qFormat/>
    <w:uiPriority w:val="1"/>
    <w:rPr>
      <w:lang w:val="en-US" w:eastAsia="zh-CN"/>
    </w:rPr>
  </w:style>
  <w:style w:type="paragraph" w:customStyle="1" w:styleId="19">
    <w:name w:val="No Spacing"/>
    <w:link w:val="1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486</Words>
  <Characters>2771</Characters>
  <Lines>23</Lines>
  <Paragraphs>6</Paragraphs>
  <TotalTime>0</TotalTime>
  <ScaleCrop>false</ScaleCrop>
  <LinksUpToDate>false</LinksUpToDate>
  <CharactersWithSpaces>3251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2016-07-08T09:19:00Z</dcterms:created>
  <dc:creator>Naturev</dc:creator>
  <cp:lastModifiedBy>Administrator</cp:lastModifiedBy>
  <dcterms:modified xsi:type="dcterms:W3CDTF">2017-05-18T06:53:59Z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